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№1357-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0" w:right="4762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гр. Асметкіній Е. С. на розробку проекту землеустрою щодо                      відведення земельної ділянки у приватну власність для ведення особистого                                 селянського господарства, що розташована за межами смт. Зідьки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3259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Асметкіної Ельвіри Сергіївни,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смт. Зідьки, враховуючи викопіювання з кадастрової карти (плану) та іншої картографічної документації Державного земельного кадастру від 02.09.2021 року №264/483-21, видану відділом №3 Управління у Чугуївському районі Головного управління Держгеокадастру у  Харківській області, графічний матеріал, рекомендації постійної комісії </w:t>
      </w:r>
      <w:r>
        <w:rPr>
          <w:rStyle w:val="Style15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Асметкіній Ельвірі Сергіївні,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на розробку проекту землеустрою щодо відведення земельної ділянки за рахунок земель сільськогосподарського призначення комунальної власності Зміївської міської ради, площею 2,0000 га, для ведення особистого селянського господарства (код цільового призначення згідно з КВЦПЗ - 01.03), що розташована за межами смт. Зідьки</w:t>
      </w:r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Асметкіній Е .С. звернутись до розробника документації із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/>
          <w:iCs/>
          <w:color w:val="000000"/>
          <w:sz w:val="23"/>
          <w:szCs w:val="24"/>
          <w:highlight w:val="white"/>
          <w:lang w:val="uk-UA" w:eastAsia="ru-RU" w:bidi="ar-SA"/>
        </w:rPr>
        <w:t>3. Попередити гр. Асметкіну Е. С. про те, що приступати до використання земельної                   ділянки до державної реєстрації речового права на неї забороняється.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>4</w:t>
      </w:r>
      <w:r>
        <w:rPr>
          <w:rStyle w:val="11"/>
          <w:rFonts w:eastAsia="Times New Roman" w:cs="Times New Roman"/>
          <w:iCs/>
          <w:color w:val="000000"/>
          <w:sz w:val="23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  <w:sz w:val="23"/>
        </w:rPr>
      </w:pPr>
      <w:r>
        <w:rPr>
          <w:rFonts w:cs="Times New Roman"/>
          <w:iCs/>
          <w:sz w:val="23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1081</TotalTime>
  <Application>LibreOffice/5.1.6.2$Linux_X86_64 LibreOffice_project/10m0$Build-2</Application>
  <Pages>1</Pages>
  <Words>344</Words>
  <Characters>2298</Characters>
  <CharactersWithSpaces>2909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2021-10-01T14:20:59Z</cp:lastPrinted>
  <dcterms:modified xsi:type="dcterms:W3CDTF">2021-10-06T11:17:43Z</dcterms:modified>
  <cp:revision>141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